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000BEF"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Anexa 1</w:t>
      </w:r>
      <w:r w:rsidR="006E3D61">
        <w:rPr>
          <w:rFonts w:ascii="Arial" w:eastAsia="Times New Roman" w:hAnsi="Arial" w:cs="Arial"/>
          <w:b/>
          <w:sz w:val="24"/>
          <w:szCs w:val="24"/>
        </w:rPr>
        <w:t>0.6</w:t>
      </w:r>
      <w:r w:rsidR="006A3B6C">
        <w:rPr>
          <w:rFonts w:ascii="Arial" w:eastAsia="Times New Roman" w:hAnsi="Arial" w:cs="Arial"/>
          <w:b/>
          <w:sz w:val="24"/>
          <w:szCs w:val="24"/>
        </w:rPr>
        <w:t xml:space="preserve"> –Indicatori de monitorizare ai Strategiei Integrate de Dezvoltare Durabila a Deltei Dunarii </w:t>
      </w:r>
      <w:bookmarkStart w:id="0" w:name="_GoBack"/>
      <w:bookmarkEnd w:id="0"/>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f"/>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f"/>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4D5" w:rsidRDefault="005534D5" w:rsidP="00EA0A34">
      <w:pPr>
        <w:spacing w:after="0" w:line="240" w:lineRule="auto"/>
      </w:pPr>
      <w:r>
        <w:separator/>
      </w:r>
    </w:p>
  </w:endnote>
  <w:endnote w:type="continuationSeparator" w:id="0">
    <w:p w:rsidR="005534D5" w:rsidRDefault="005534D5"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4D5" w:rsidRDefault="005534D5" w:rsidP="00EA0A34">
      <w:pPr>
        <w:spacing w:after="0" w:line="240" w:lineRule="auto"/>
      </w:pPr>
      <w:r>
        <w:separator/>
      </w:r>
    </w:p>
  </w:footnote>
  <w:footnote w:type="continuationSeparator" w:id="0">
    <w:p w:rsidR="005534D5" w:rsidRDefault="005534D5"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pPr>
      <w:pStyle w:val="Antet"/>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rsidP="00EA0A34">
    <w:pPr>
      <w:pStyle w:val="Antet"/>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7663"/>
    <w:rsid w:val="003224F4"/>
    <w:rsid w:val="00335CF7"/>
    <w:rsid w:val="00353090"/>
    <w:rsid w:val="003843AB"/>
    <w:rsid w:val="00386C77"/>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57E9"/>
    <w:rsid w:val="006E3D61"/>
    <w:rsid w:val="006E6649"/>
    <w:rsid w:val="00712168"/>
    <w:rsid w:val="007137E5"/>
    <w:rsid w:val="00724ACC"/>
    <w:rsid w:val="007757BF"/>
    <w:rsid w:val="00787338"/>
    <w:rsid w:val="007D6311"/>
    <w:rsid w:val="007D6A69"/>
    <w:rsid w:val="007E0304"/>
    <w:rsid w:val="008262A5"/>
    <w:rsid w:val="0083325F"/>
    <w:rsid w:val="008543CF"/>
    <w:rsid w:val="0086359E"/>
    <w:rsid w:val="00865805"/>
    <w:rsid w:val="00881694"/>
    <w:rsid w:val="00885345"/>
    <w:rsid w:val="008B76CF"/>
    <w:rsid w:val="008F2CC5"/>
    <w:rsid w:val="008F7A4C"/>
    <w:rsid w:val="00916E3F"/>
    <w:rsid w:val="00926A61"/>
    <w:rsid w:val="00943603"/>
    <w:rsid w:val="00954E3B"/>
    <w:rsid w:val="00955537"/>
    <w:rsid w:val="009637DA"/>
    <w:rsid w:val="009807AB"/>
    <w:rsid w:val="0098647B"/>
    <w:rsid w:val="00994E18"/>
    <w:rsid w:val="00997664"/>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50B98"/>
    <w:rsid w:val="00C62E34"/>
    <w:rsid w:val="00C84A2C"/>
    <w:rsid w:val="00C86840"/>
    <w:rsid w:val="00C87558"/>
    <w:rsid w:val="00C96D46"/>
    <w:rsid w:val="00CB3290"/>
    <w:rsid w:val="00CB6D72"/>
    <w:rsid w:val="00CC1E27"/>
    <w:rsid w:val="00CC5F68"/>
    <w:rsid w:val="00D1113A"/>
    <w:rsid w:val="00D14EFE"/>
    <w:rsid w:val="00D21B05"/>
    <w:rsid w:val="00D22247"/>
    <w:rsid w:val="00D30ABF"/>
    <w:rsid w:val="00D31586"/>
    <w:rsid w:val="00D81DEB"/>
    <w:rsid w:val="00DA449C"/>
    <w:rsid w:val="00DB466B"/>
    <w:rsid w:val="00DE2DBE"/>
    <w:rsid w:val="00DF3F56"/>
    <w:rsid w:val="00DF5E4E"/>
    <w:rsid w:val="00E16F93"/>
    <w:rsid w:val="00E178B8"/>
    <w:rsid w:val="00E24678"/>
    <w:rsid w:val="00E317EF"/>
    <w:rsid w:val="00E64334"/>
    <w:rsid w:val="00E8108F"/>
    <w:rsid w:val="00E92E8A"/>
    <w:rsid w:val="00EA0A34"/>
    <w:rsid w:val="00EA1585"/>
    <w:rsid w:val="00EA5147"/>
    <w:rsid w:val="00EA57F0"/>
    <w:rsid w:val="00EB369A"/>
    <w:rsid w:val="00EB467F"/>
    <w:rsid w:val="00EF139A"/>
    <w:rsid w:val="00EF20EE"/>
    <w:rsid w:val="00F02455"/>
    <w:rsid w:val="00F32080"/>
    <w:rsid w:val="00F621D1"/>
    <w:rsid w:val="00F647B9"/>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9000AF-7BE3-4DC3-82E0-C171BE34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C6"/>
    <w:rPr>
      <w:rFonts w:ascii="Calibri" w:eastAsia="Calibri" w:hAnsi="Calibri" w:cs="Times New Roman"/>
      <w:lang w:val="ro-RO"/>
    </w:rPr>
  </w:style>
  <w:style w:type="paragraph" w:styleId="Titlu2">
    <w:name w:val="heading 2"/>
    <w:aliases w:val="Nadpis_2,AB,Numbered - 2,Sub Heading,ignorer2,Heading 2 Char1,Heading 2 Char Char"/>
    <w:basedOn w:val="Normal"/>
    <w:next w:val="Normal"/>
    <w:link w:val="Titlu2Caracte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A0A3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A0A34"/>
  </w:style>
  <w:style w:type="paragraph" w:styleId="Subsol">
    <w:name w:val="footer"/>
    <w:basedOn w:val="Normal"/>
    <w:link w:val="SubsolCaracter"/>
    <w:uiPriority w:val="99"/>
    <w:unhideWhenUsed/>
    <w:rsid w:val="00EA0A3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A0A34"/>
  </w:style>
  <w:style w:type="paragraph" w:styleId="TextnBalon">
    <w:name w:val="Balloon Text"/>
    <w:basedOn w:val="Normal"/>
    <w:link w:val="TextnBalonCaracter"/>
    <w:uiPriority w:val="99"/>
    <w:semiHidden/>
    <w:unhideWhenUsed/>
    <w:rsid w:val="00EA0A3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A0A34"/>
    <w:rPr>
      <w:rFonts w:ascii="Tahoma" w:hAnsi="Tahoma" w:cs="Tahoma"/>
      <w:sz w:val="16"/>
      <w:szCs w:val="16"/>
    </w:rPr>
  </w:style>
  <w:style w:type="paragraph" w:styleId="Listparagraf">
    <w:name w:val="List Paragraph"/>
    <w:basedOn w:val="Normal"/>
    <w:uiPriority w:val="34"/>
    <w:qFormat/>
    <w:rsid w:val="009A530B"/>
    <w:pPr>
      <w:ind w:left="720"/>
      <w:contextualSpacing/>
    </w:pPr>
  </w:style>
  <w:style w:type="character" w:styleId="Hyperlink">
    <w:name w:val="Hyperlink"/>
    <w:basedOn w:val="Fontdeparagrafimplicit"/>
    <w:uiPriority w:val="99"/>
    <w:unhideWhenUsed/>
    <w:rsid w:val="0047019D"/>
    <w:rPr>
      <w:color w:val="0000FF" w:themeColor="hyperlink"/>
      <w:u w:val="single"/>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Template>
  <TotalTime>675</TotalTime>
  <Pages>4</Pages>
  <Words>1506</Words>
  <Characters>8590</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Anca Magdalena Balea</cp:lastModifiedBy>
  <cp:revision>190</cp:revision>
  <cp:lastPrinted>2018-05-09T16:41:00Z</cp:lastPrinted>
  <dcterms:created xsi:type="dcterms:W3CDTF">2015-06-17T10:15:00Z</dcterms:created>
  <dcterms:modified xsi:type="dcterms:W3CDTF">2018-05-09T16:41:00Z</dcterms:modified>
</cp:coreProperties>
</file>